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4B" w:rsidRPr="00BA2C4B" w:rsidRDefault="00BA2C4B" w:rsidP="00BA2C4B">
      <w:pPr>
        <w:shd w:val="clear" w:color="auto" w:fill="FFFFFF"/>
        <w:spacing w:after="180" w:line="240" w:lineRule="auto"/>
        <w:rPr>
          <w:rFonts w:ascii="Cambria" w:hAnsi="Cambria"/>
          <w:b/>
          <w:sz w:val="36"/>
          <w:szCs w:val="16"/>
        </w:rPr>
      </w:pPr>
      <w:r w:rsidRPr="00BA2C4B">
        <w:rPr>
          <w:rFonts w:ascii="Cambria" w:hAnsi="Cambria"/>
          <w:b/>
          <w:sz w:val="36"/>
          <w:szCs w:val="16"/>
        </w:rPr>
        <w:t>Choreography Definitions and Terms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 xml:space="preserve">AB 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choreographic form in which the A part represents a phrase of specified length and the B part represents a different phrase of specified length.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 xml:space="preserve">ABA 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An extension of the AB choreographic form/structure; after the B phrase, the piece returns to the A phrase.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Binary form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Two-part structure: AB.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Call and response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choreographic form in which one soloist or group performs, and the second soloist or group enters in response to the first.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Canon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choreographic form in which movements introduced by one dancer are repeated exactly by subsequent dancers in turn.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Chance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choreographic process in which movements are chosen at random or randomly structured to create a movement sequence or a dance.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Choreographic devices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Composition principles that can be manipulated to develop dance choreography (e.g., repetition, contrast, tension and resolution, sequencing and development, transition, unity, variety).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Choreographic form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The way in which the choreography of a dance is structured. For examples of choreographic form, see: AB, ABA, call and response, canon, narrative, rondo.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Choreographic process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The method (e.g., teacher direction, group collaboration, collage, chance) by which choreography is developed.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Dance phrase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logical sequence of movements with an observable beginning, middle, and end.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Form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Structure of dance compositions.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Idea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 xml:space="preserve">A </w:t>
      </w:r>
      <w:r w:rsidRPr="00BA2C4B">
        <w:rPr>
          <w:rFonts w:ascii="Cambria" w:hAnsi="Cambria"/>
          <w:sz w:val="28"/>
          <w:szCs w:val="16"/>
        </w:rPr>
        <w:t xml:space="preserve">visual, auditory, or </w:t>
      </w:r>
      <w:proofErr w:type="spellStart"/>
      <w:r w:rsidRPr="00BA2C4B">
        <w:rPr>
          <w:rFonts w:ascii="Cambria" w:hAnsi="Cambria"/>
          <w:sz w:val="28"/>
          <w:szCs w:val="16"/>
        </w:rPr>
        <w:t>kinaesthetic</w:t>
      </w:r>
      <w:proofErr w:type="spellEnd"/>
      <w:r w:rsidRPr="00BA2C4B">
        <w:rPr>
          <w:rFonts w:ascii="Cambria" w:hAnsi="Cambria"/>
          <w:sz w:val="28"/>
          <w:szCs w:val="16"/>
        </w:rPr>
        <w:t xml:space="preserve"> concept, or a combination of these, within an arts discipline.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lastRenderedPageBreak/>
        <w:t>Improvisation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Spontaneous movement in response to a stimulus.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Meaning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What an artist expresses in an art expression; or what an audience understands and interprets.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Metric rhythm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The grouping of beats in a recurring pattern.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Movement motif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movement or gesture that can be elaborated upon or developed in a variety of ways in the process of dance choreography.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Movement sequence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series of movements, longer than a phrase, but shorter than a section of a dance.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Movement vocabulary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All the actions the body can make.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Narrative structure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choreographic structure that tells a story.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Principles of composition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Choreographic devices that can be manipulated to develop dance choreography (e.g., repetition, contrast, climax and resolution, sequencing and development, transition, unity, variety).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Rondo form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dance structure with three or more themes where one theme is repeated: ABACAD ....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Ternary form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Three-part structure: ABA. </w:t>
      </w:r>
    </w:p>
    <w:p w:rsidR="00BA2C4B" w:rsidRPr="00BA2C4B" w:rsidRDefault="00BA2C4B" w:rsidP="00BA2C4B">
      <w:pPr>
        <w:pStyle w:val="ListParagraph"/>
        <w:numPr>
          <w:ilvl w:val="1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Time signature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 w:rsidRPr="00BA2C4B">
        <w:rPr>
          <w:rFonts w:ascii="Cambria" w:hAnsi="Cambria"/>
          <w:sz w:val="28"/>
          <w:szCs w:val="16"/>
        </w:rPr>
        <w:t xml:space="preserve">A symbol that denotes a metric rhythm; for example, 3/4 or 4/4. </w:t>
      </w:r>
    </w:p>
    <w:p w:rsidR="00BA2C4B" w:rsidRPr="00BA2C4B" w:rsidRDefault="00BA2C4B" w:rsidP="00BA2C4B">
      <w:pPr>
        <w:pStyle w:val="ListParagraph"/>
        <w:numPr>
          <w:ilvl w:val="2"/>
          <w:numId w:val="1"/>
        </w:numPr>
        <w:shd w:val="clear" w:color="auto" w:fill="FFFFFF"/>
        <w:spacing w:after="180" w:line="240" w:lineRule="auto"/>
        <w:rPr>
          <w:rFonts w:ascii="Cambria" w:eastAsia="Times New Roman" w:hAnsi="Cambria" w:cs="Times New Roman"/>
          <w:color w:val="333333"/>
          <w:sz w:val="28"/>
          <w:szCs w:val="16"/>
        </w:rPr>
      </w:pPr>
      <w:r>
        <w:rPr>
          <w:rFonts w:ascii="Cambria" w:hAnsi="Cambria"/>
          <w:sz w:val="28"/>
          <w:szCs w:val="16"/>
        </w:rPr>
        <w:t>This shows us how we count a piece of music. Typically, we count 1-8, but sometimes we count in groups of 3, 6, 9, 5, etc.</w:t>
      </w:r>
      <w:bookmarkStart w:id="0" w:name="_GoBack"/>
      <w:bookmarkEnd w:id="0"/>
    </w:p>
    <w:sectPr w:rsidR="00BA2C4B" w:rsidRPr="00BA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F5D"/>
    <w:multiLevelType w:val="hybridMultilevel"/>
    <w:tmpl w:val="22BA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4B"/>
    <w:rsid w:val="00594178"/>
    <w:rsid w:val="00B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3229"/>
  <w15:chartTrackingRefBased/>
  <w15:docId w15:val="{90ED6E35-EC1E-4834-97E1-6EB98DD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4B"/>
    <w:pPr>
      <w:ind w:left="720"/>
      <w:contextualSpacing/>
    </w:pPr>
  </w:style>
  <w:style w:type="table" w:styleId="TableGrid">
    <w:name w:val="Table Grid"/>
    <w:basedOn w:val="TableNormal"/>
    <w:uiPriority w:val="39"/>
    <w:rsid w:val="00BA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RCSD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Thibeault</dc:creator>
  <cp:keywords/>
  <dc:description/>
  <cp:lastModifiedBy>Sara Thibeault</cp:lastModifiedBy>
  <cp:revision>1</cp:revision>
  <cp:lastPrinted>2016-09-12T20:39:00Z</cp:lastPrinted>
  <dcterms:created xsi:type="dcterms:W3CDTF">2016-09-12T20:33:00Z</dcterms:created>
  <dcterms:modified xsi:type="dcterms:W3CDTF">2016-09-12T20:39:00Z</dcterms:modified>
</cp:coreProperties>
</file>